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1B8E4" w14:textId="77777777" w:rsidR="006420D5" w:rsidRPr="002F3ACF" w:rsidRDefault="006420D5" w:rsidP="00003535">
      <w:pPr>
        <w:pStyle w:val="Nzev"/>
        <w:jc w:val="center"/>
        <w:rPr>
          <w:rFonts w:eastAsia="Times New Roman"/>
          <w:b/>
          <w:bCs/>
          <w:sz w:val="72"/>
          <w:szCs w:val="72"/>
          <w:lang w:eastAsia="cs-CZ"/>
        </w:rPr>
      </w:pPr>
      <w:r w:rsidRPr="002F3ACF">
        <w:rPr>
          <w:rFonts w:eastAsia="Times New Roman"/>
          <w:b/>
          <w:bCs/>
          <w:sz w:val="72"/>
          <w:szCs w:val="72"/>
          <w:lang w:eastAsia="cs-CZ"/>
        </w:rPr>
        <w:t>SMĚRNICE O DLOUHODOBÉM MAJETKU</w:t>
      </w:r>
    </w:p>
    <w:p w14:paraId="4D61DB32" w14:textId="77777777" w:rsidR="002F3ACF" w:rsidRDefault="002F3ACF" w:rsidP="002F3ACF">
      <w:pPr>
        <w:rPr>
          <w:lang w:eastAsia="cs-CZ"/>
        </w:rPr>
      </w:pPr>
    </w:p>
    <w:p w14:paraId="118C7826" w14:textId="77777777" w:rsidR="002F3ACF" w:rsidRDefault="002F3ACF" w:rsidP="002F3ACF">
      <w:pPr>
        <w:rPr>
          <w:lang w:eastAsia="cs-CZ"/>
        </w:rPr>
      </w:pPr>
    </w:p>
    <w:p w14:paraId="309810F8" w14:textId="044D5E49" w:rsidR="002F3ACF" w:rsidRDefault="002F3ACF" w:rsidP="002F3ACF">
      <w:pPr>
        <w:jc w:val="center"/>
        <w:rPr>
          <w:lang w:eastAsia="cs-CZ"/>
        </w:rPr>
      </w:pPr>
      <w:r w:rsidRPr="002F3ACF">
        <w:rPr>
          <w:noProof/>
          <w:lang w:eastAsia="cs-CZ"/>
        </w:rPr>
        <w:drawing>
          <wp:inline distT="0" distB="0" distL="0" distR="0" wp14:anchorId="27F43DF6" wp14:editId="652930CA">
            <wp:extent cx="3458210" cy="4137025"/>
            <wp:effectExtent l="0" t="0" r="8890" b="0"/>
            <wp:docPr id="60763270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409" cy="41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2BB79" w14:textId="77777777" w:rsidR="002F3ACF" w:rsidRDefault="002F3ACF" w:rsidP="002F3ACF">
      <w:pPr>
        <w:rPr>
          <w:lang w:eastAsia="cs-CZ"/>
        </w:rPr>
      </w:pPr>
    </w:p>
    <w:p w14:paraId="735C8B15" w14:textId="230FC6DE" w:rsidR="002F3ACF" w:rsidRPr="002F3ACF" w:rsidRDefault="002F3ACF" w:rsidP="002F3ACF">
      <w:pPr>
        <w:jc w:val="center"/>
        <w:rPr>
          <w:b/>
          <w:bCs/>
          <w:sz w:val="72"/>
          <w:szCs w:val="72"/>
          <w:lang w:eastAsia="cs-CZ"/>
        </w:rPr>
      </w:pPr>
      <w:r w:rsidRPr="002F3ACF">
        <w:rPr>
          <w:b/>
          <w:bCs/>
          <w:sz w:val="72"/>
          <w:szCs w:val="72"/>
          <w:lang w:eastAsia="cs-CZ"/>
        </w:rPr>
        <w:t>MĚSTYS LITEŇ</w:t>
      </w:r>
    </w:p>
    <w:p w14:paraId="6D525945" w14:textId="77777777" w:rsidR="002F3ACF" w:rsidRDefault="002F3ACF" w:rsidP="002F3ACF">
      <w:pPr>
        <w:rPr>
          <w:lang w:eastAsia="cs-CZ"/>
        </w:rPr>
      </w:pPr>
    </w:p>
    <w:p w14:paraId="6E606CD9" w14:textId="77777777" w:rsidR="002F3ACF" w:rsidRDefault="002F3ACF" w:rsidP="002F3ACF">
      <w:pPr>
        <w:rPr>
          <w:lang w:eastAsia="cs-CZ"/>
        </w:rPr>
      </w:pPr>
    </w:p>
    <w:p w14:paraId="2728863A" w14:textId="77777777" w:rsidR="002F3ACF" w:rsidRDefault="002F3ACF" w:rsidP="002F3ACF">
      <w:pPr>
        <w:rPr>
          <w:lang w:eastAsia="cs-CZ"/>
        </w:rPr>
      </w:pPr>
    </w:p>
    <w:p w14:paraId="44AEDD50" w14:textId="77777777" w:rsidR="002F3ACF" w:rsidRDefault="002F3ACF" w:rsidP="002F3ACF">
      <w:pPr>
        <w:rPr>
          <w:lang w:eastAsia="cs-CZ"/>
        </w:rPr>
      </w:pPr>
    </w:p>
    <w:p w14:paraId="0CAA0FE1" w14:textId="5B298D39" w:rsidR="002F3ACF" w:rsidRPr="002F3ACF" w:rsidRDefault="002F3ACF" w:rsidP="002F3ACF">
      <w:pPr>
        <w:jc w:val="center"/>
        <w:rPr>
          <w:sz w:val="32"/>
          <w:szCs w:val="32"/>
          <w:lang w:eastAsia="cs-CZ"/>
        </w:rPr>
      </w:pPr>
      <w:r>
        <w:rPr>
          <w:sz w:val="32"/>
          <w:szCs w:val="32"/>
          <w:lang w:eastAsia="cs-CZ"/>
        </w:rPr>
        <w:t>v</w:t>
      </w:r>
      <w:r w:rsidRPr="002F3ACF">
        <w:rPr>
          <w:sz w:val="32"/>
          <w:szCs w:val="32"/>
          <w:lang w:eastAsia="cs-CZ"/>
        </w:rPr>
        <w:t>erze 1</w:t>
      </w:r>
    </w:p>
    <w:p w14:paraId="73387EC3" w14:textId="641B9D5B" w:rsidR="002F3ACF" w:rsidRPr="002F3ACF" w:rsidRDefault="002F3ACF" w:rsidP="002F3ACF">
      <w:pPr>
        <w:jc w:val="center"/>
        <w:rPr>
          <w:sz w:val="32"/>
          <w:szCs w:val="32"/>
          <w:lang w:eastAsia="cs-CZ"/>
        </w:rPr>
      </w:pPr>
      <w:r w:rsidRPr="002F3ACF">
        <w:rPr>
          <w:sz w:val="32"/>
          <w:szCs w:val="32"/>
          <w:lang w:eastAsia="cs-CZ"/>
        </w:rPr>
        <w:t>Platnost od 7.11.2025</w:t>
      </w:r>
    </w:p>
    <w:p w14:paraId="4D9ED540" w14:textId="226AF64F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cs-CZ"/>
        </w:rPr>
        <w:lastRenderedPageBreak/>
        <w:t>ÚČETNÍ JEDNOTKA:</w:t>
      </w:r>
      <w:r w:rsidR="001A552C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cs-CZ"/>
        </w:rPr>
        <w:t xml:space="preserve"> Městys Liteň</w:t>
      </w:r>
    </w:p>
    <w:p w14:paraId="6167CA98" w14:textId="62829628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Adresa:</w:t>
      </w:r>
      <w:r w:rsidR="001A552C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 xml:space="preserve"> Náměstí 71</w:t>
      </w:r>
    </w:p>
    <w:p w14:paraId="65D41AF5" w14:textId="5DA2894C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IČO:</w:t>
      </w:r>
      <w:r w:rsidR="001A552C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 xml:space="preserve"> 00233501</w:t>
      </w:r>
    </w:p>
    <w:p w14:paraId="151B1EDE" w14:textId="238011BC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Směrnici zpracoval/a/:</w:t>
      </w:r>
      <w:r w:rsidR="001A552C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 xml:space="preserve"> Barbora Císařová</w:t>
      </w:r>
    </w:p>
    <w:p w14:paraId="4C7BF9C6" w14:textId="6D8011FE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Směrnici schválil/a/:</w:t>
      </w:r>
      <w:r w:rsidR="001A552C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 xml:space="preserve"> Tomáš </w:t>
      </w:r>
      <w:proofErr w:type="spellStart"/>
      <w:r w:rsidR="001A552C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Jurajda</w:t>
      </w:r>
      <w:proofErr w:type="spellEnd"/>
    </w:p>
    <w:p w14:paraId="4B29F393" w14:textId="6E99F605" w:rsid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EE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 xml:space="preserve">Směrnice nabývá účinnosti dne: </w:t>
      </w:r>
      <w:r w:rsidR="00F32FD6" w:rsidRPr="002F3ACF">
        <w:rPr>
          <w:rFonts w:ascii="Segoe UI" w:eastAsia="Times New Roman" w:hAnsi="Segoe UI" w:cs="Segoe UI"/>
          <w:sz w:val="21"/>
          <w:szCs w:val="21"/>
          <w:lang w:eastAsia="cs-CZ"/>
        </w:rPr>
        <w:t>7.11.2025</w:t>
      </w:r>
    </w:p>
    <w:p w14:paraId="78EF3119" w14:textId="77777777" w:rsidR="00003535" w:rsidRPr="006420D5" w:rsidRDefault="0000353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</w:p>
    <w:p w14:paraId="237235A8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cs-CZ"/>
        </w:rPr>
        <w:t>OBSAH:</w:t>
      </w:r>
    </w:p>
    <w:p w14:paraId="6F812D0B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hyperlink r:id="rId5" w:anchor="L45" w:history="1">
        <w:r w:rsidRPr="006420D5">
          <w:rPr>
            <w:rFonts w:ascii="Segoe UI" w:eastAsia="Times New Roman" w:hAnsi="Segoe UI" w:cs="Segoe UI"/>
            <w:color w:val="0000FF"/>
            <w:sz w:val="21"/>
            <w:szCs w:val="21"/>
            <w:u w:val="single"/>
            <w:lang w:eastAsia="cs-CZ"/>
          </w:rPr>
          <w:t>I. Legislativní rámec</w:t>
        </w:r>
      </w:hyperlink>
    </w:p>
    <w:p w14:paraId="49A9F5FB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hyperlink r:id="rId6" w:anchor="L53" w:history="1">
        <w:r w:rsidRPr="006420D5">
          <w:rPr>
            <w:rFonts w:ascii="Segoe UI" w:eastAsia="Times New Roman" w:hAnsi="Segoe UI" w:cs="Segoe UI"/>
            <w:color w:val="0000FF"/>
            <w:sz w:val="21"/>
            <w:szCs w:val="21"/>
            <w:u w:val="single"/>
            <w:lang w:eastAsia="cs-CZ"/>
          </w:rPr>
          <w:t>II. Předmět směrnice</w:t>
        </w:r>
      </w:hyperlink>
    </w:p>
    <w:p w14:paraId="184E891C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hyperlink r:id="rId7" w:anchor="L55" w:history="1">
        <w:r w:rsidRPr="006420D5">
          <w:rPr>
            <w:rFonts w:ascii="Segoe UI" w:eastAsia="Times New Roman" w:hAnsi="Segoe UI" w:cs="Segoe UI"/>
            <w:color w:val="0000FF"/>
            <w:sz w:val="21"/>
            <w:szCs w:val="21"/>
            <w:u w:val="single"/>
            <w:lang w:eastAsia="cs-CZ"/>
          </w:rPr>
          <w:t>III. Princip a účtování o dlouhodobém majetku</w:t>
        </w:r>
      </w:hyperlink>
    </w:p>
    <w:p w14:paraId="17EEB25E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3.1 Členění dlouhodobého majetku</w:t>
      </w:r>
    </w:p>
    <w:p w14:paraId="3B3D86A8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3.1.1 Dlouhodobý nehmotný majetek</w:t>
      </w:r>
    </w:p>
    <w:p w14:paraId="4263B1F3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3.1.2 Drobný dlouhodobý nehmotný majetek</w:t>
      </w:r>
    </w:p>
    <w:p w14:paraId="05AE85BB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3.1.3 Dlouhodobý hmotný majetek</w:t>
      </w:r>
    </w:p>
    <w:p w14:paraId="134D113B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3.1.4 Drobný dlouhodobý hmotný majetek</w:t>
      </w:r>
    </w:p>
    <w:p w14:paraId="0E9AC40D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3.1.5 Dlouhodobý finanční majetek</w:t>
      </w:r>
    </w:p>
    <w:p w14:paraId="625FE25D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3.1.6 Ostatní drobný hmotný a nehmotný majetek</w:t>
      </w:r>
    </w:p>
    <w:p w14:paraId="137BFA1B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hyperlink r:id="rId8" w:anchor="L159" w:history="1">
        <w:r w:rsidRPr="006420D5">
          <w:rPr>
            <w:rFonts w:ascii="Segoe UI" w:eastAsia="Times New Roman" w:hAnsi="Segoe UI" w:cs="Segoe UI"/>
            <w:color w:val="0000FF"/>
            <w:sz w:val="21"/>
            <w:szCs w:val="21"/>
            <w:u w:val="single"/>
            <w:lang w:eastAsia="cs-CZ"/>
          </w:rPr>
          <w:t>IV. Pořízení a ocenění dlouhodobého majetku</w:t>
        </w:r>
      </w:hyperlink>
    </w:p>
    <w:p w14:paraId="16369C01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4.1 Pořízení dlouhodobého nehmotného majetku</w:t>
      </w:r>
    </w:p>
    <w:p w14:paraId="480B7CB3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4.2 Pořízení dlouhodobého nehmotného majetku bezúplatně od vybrané účetní jednotky</w:t>
      </w:r>
    </w:p>
    <w:p w14:paraId="7BBBAA8D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4.3 Pořízení technického zhodnocení nehmotného majetku</w:t>
      </w:r>
    </w:p>
    <w:p w14:paraId="698AE705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4.4 Pořízení dlouhodobého hmotného majetku</w:t>
      </w:r>
    </w:p>
    <w:p w14:paraId="10CD9824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4.5 Pořízení dlouhodobého hmotného majetku bezúplatně od vybrané účetní jednotky</w:t>
      </w:r>
    </w:p>
    <w:p w14:paraId="3A525114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4.6 Pořízení dlouhodobého nemovitého a movitého majetku za účelem bezúplatného předání</w:t>
      </w:r>
    </w:p>
    <w:p w14:paraId="02FD485B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4.7 Pořízení technického zhodnocení nehmotného majetku</w:t>
      </w:r>
    </w:p>
    <w:p w14:paraId="49CD879A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4.8 Pořízení dlouhodobého finančního majetku</w:t>
      </w:r>
    </w:p>
    <w:p w14:paraId="6CD7EFCB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4.9 Vymezení nákladů souvisejících s pořízením dlouhodobého hmotného a nehmotného majetku</w:t>
      </w:r>
    </w:p>
    <w:p w14:paraId="33172F37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4.10 Vymezení nákladů souvisejících s pořízením dlouhodobého finančního majetku</w:t>
      </w:r>
    </w:p>
    <w:p w14:paraId="1B7B1D2F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4.11 Nedílná součást stavby</w:t>
      </w:r>
    </w:p>
    <w:p w14:paraId="5D1B637F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4.12 Zásady pro uvedení majetku do užívání</w:t>
      </w:r>
    </w:p>
    <w:p w14:paraId="7EC4EDA7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hyperlink r:id="rId9" w:anchor="L250" w:history="1">
        <w:r w:rsidRPr="006420D5">
          <w:rPr>
            <w:rFonts w:ascii="Segoe UI" w:eastAsia="Times New Roman" w:hAnsi="Segoe UI" w:cs="Segoe UI"/>
            <w:color w:val="0000FF"/>
            <w:sz w:val="21"/>
            <w:szCs w:val="21"/>
            <w:u w:val="single"/>
            <w:lang w:eastAsia="cs-CZ"/>
          </w:rPr>
          <w:t>V. Evidence a inventarizace dlouhodobého majetku</w:t>
        </w:r>
      </w:hyperlink>
    </w:p>
    <w:p w14:paraId="63DE1CCC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5.1 Evidence dlouhodobého majetku</w:t>
      </w:r>
    </w:p>
    <w:p w14:paraId="5B03A522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5.2 Inventarizace dlouhodobého majetku</w:t>
      </w:r>
    </w:p>
    <w:p w14:paraId="35E30030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hyperlink r:id="rId10" w:anchor="L255" w:history="1">
        <w:r w:rsidRPr="006420D5">
          <w:rPr>
            <w:rFonts w:ascii="Segoe UI" w:eastAsia="Times New Roman" w:hAnsi="Segoe UI" w:cs="Segoe UI"/>
            <w:color w:val="0000FF"/>
            <w:sz w:val="21"/>
            <w:szCs w:val="21"/>
            <w:u w:val="single"/>
            <w:lang w:eastAsia="cs-CZ"/>
          </w:rPr>
          <w:t>VI. Vyřazení dlouhodobého majetku</w:t>
        </w:r>
      </w:hyperlink>
    </w:p>
    <w:p w14:paraId="608B0E6C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6.1 Vyřazení majetku z evidence</w:t>
      </w:r>
    </w:p>
    <w:p w14:paraId="51B52F08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6.2 Účetní doklad o vyřazení majetku</w:t>
      </w:r>
    </w:p>
    <w:p w14:paraId="2EDA3207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6.3 Zmařená investice</w:t>
      </w:r>
    </w:p>
    <w:p w14:paraId="03BE1482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6.4 Vyřazení nemovitého a movitého majetku nabytého za účelem bezúplatného předání</w:t>
      </w:r>
    </w:p>
    <w:p w14:paraId="2E256A29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6.5 Přecenění majetku na reálnou hodnotu</w:t>
      </w:r>
    </w:p>
    <w:p w14:paraId="6C6683CE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hyperlink r:id="rId11" w:anchor="L272" w:history="1">
        <w:r w:rsidRPr="006420D5">
          <w:rPr>
            <w:rFonts w:ascii="Segoe UI" w:eastAsia="Times New Roman" w:hAnsi="Segoe UI" w:cs="Segoe UI"/>
            <w:color w:val="0000FF"/>
            <w:sz w:val="21"/>
            <w:szCs w:val="21"/>
            <w:u w:val="single"/>
            <w:lang w:eastAsia="cs-CZ"/>
          </w:rPr>
          <w:t>VII. Závěrečné ustanovení</w:t>
        </w:r>
      </w:hyperlink>
    </w:p>
    <w:p w14:paraId="33DB58AB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cs-CZ"/>
        </w:rPr>
        <w:t>I. LEGISLATIVNÍ RÁMEC</w:t>
      </w:r>
    </w:p>
    <w:p w14:paraId="00E56214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cs-CZ"/>
        </w:rPr>
        <w:t>1.1 Legislativní rámec dlouhodobého majetku je upraven následujícími předpisy:</w:t>
      </w:r>
    </w:p>
    <w:p w14:paraId="7AF05774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- Zákon č. </w:t>
      </w:r>
      <w:hyperlink r:id="rId12" w:history="1">
        <w:r w:rsidRPr="006420D5">
          <w:rPr>
            <w:rFonts w:ascii="Segoe UI" w:eastAsia="Times New Roman" w:hAnsi="Segoe UI" w:cs="Segoe UI"/>
            <w:color w:val="0000FF"/>
            <w:sz w:val="21"/>
            <w:szCs w:val="21"/>
            <w:u w:val="single"/>
            <w:lang w:eastAsia="cs-CZ"/>
          </w:rPr>
          <w:t>563/1991 Sb.</w:t>
        </w:r>
      </w:hyperlink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, o účetnictví, v platném znění</w:t>
      </w:r>
    </w:p>
    <w:p w14:paraId="7157F433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- Zákon č. </w:t>
      </w:r>
      <w:hyperlink r:id="rId13" w:history="1">
        <w:r w:rsidRPr="006420D5">
          <w:rPr>
            <w:rFonts w:ascii="Segoe UI" w:eastAsia="Times New Roman" w:hAnsi="Segoe UI" w:cs="Segoe UI"/>
            <w:color w:val="0000FF"/>
            <w:sz w:val="21"/>
            <w:szCs w:val="21"/>
            <w:u w:val="single"/>
            <w:lang w:eastAsia="cs-CZ"/>
          </w:rPr>
          <w:t>586/1992 Sb.</w:t>
        </w:r>
      </w:hyperlink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, o daních z příjmů, v platném znění</w:t>
      </w:r>
    </w:p>
    <w:p w14:paraId="56404608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- Vyhláška č. </w:t>
      </w:r>
      <w:hyperlink r:id="rId14" w:history="1">
        <w:r w:rsidRPr="006420D5">
          <w:rPr>
            <w:rFonts w:ascii="Segoe UI" w:eastAsia="Times New Roman" w:hAnsi="Segoe UI" w:cs="Segoe UI"/>
            <w:color w:val="0000FF"/>
            <w:sz w:val="21"/>
            <w:szCs w:val="21"/>
            <w:u w:val="single"/>
            <w:lang w:eastAsia="cs-CZ"/>
          </w:rPr>
          <w:t>410/2009 Sb.</w:t>
        </w:r>
      </w:hyperlink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, prováděcí vyhláška k zákonu o účetnictví, v platném znění §§ 11-18, 55-56, 71</w:t>
      </w:r>
    </w:p>
    <w:p w14:paraId="7ACB8455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- Vyhláška č. </w:t>
      </w:r>
      <w:hyperlink r:id="rId15" w:history="1">
        <w:r w:rsidRPr="006420D5">
          <w:rPr>
            <w:rFonts w:ascii="Segoe UI" w:eastAsia="Times New Roman" w:hAnsi="Segoe UI" w:cs="Segoe UI"/>
            <w:color w:val="0000FF"/>
            <w:sz w:val="21"/>
            <w:szCs w:val="21"/>
            <w:u w:val="single"/>
            <w:lang w:eastAsia="cs-CZ"/>
          </w:rPr>
          <w:t>270/2010 Sb.</w:t>
        </w:r>
      </w:hyperlink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, o inventarizaci majetku a závazků, v platném znění</w:t>
      </w:r>
    </w:p>
    <w:p w14:paraId="6CA0B281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- ČÚS 701, 709 a 710, v platném znění</w:t>
      </w:r>
    </w:p>
    <w:p w14:paraId="6BECE1FE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- Pokyn GFŘ D-22 v platném znění</w:t>
      </w:r>
    </w:p>
    <w:p w14:paraId="79A6B319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cs-CZ"/>
        </w:rPr>
        <w:lastRenderedPageBreak/>
        <w:t>II. PŘEDMĚT SMĚRNICE</w:t>
      </w:r>
    </w:p>
    <w:p w14:paraId="0B31C098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Předmětem této směrnice je stanovit takové zásady účtování, které povedou ke správnému vyčíslení a účtování o dlouhodobém majetku.</w:t>
      </w:r>
    </w:p>
    <w:p w14:paraId="0EB63A19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cs-CZ"/>
        </w:rPr>
        <w:t>III. PRINCIPY ÚČTOVÁNÍ O DLOUHODOBÉM MAJETKU</w:t>
      </w:r>
    </w:p>
    <w:p w14:paraId="7FDF915E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cs-CZ"/>
        </w:rPr>
        <w:t>3.1 Členění dlouhodobého majetku</w:t>
      </w:r>
    </w:p>
    <w:p w14:paraId="3ED8BD82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3.1.1 Dlouhodobý nehmotný majetek § 11 prováděcí vyhlášky</w:t>
      </w:r>
    </w:p>
    <w:p w14:paraId="1BEAEF88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- Dlouhodobý nehmotný majetek obsahuje zejména nehmotné výsledky výzkumu a vývoje, software a ocenitelná práva s dobou použitelnosti delší než jeden rok, u kterých ocenění převyšuje částku 60.000,- Kč.</w:t>
      </w:r>
    </w:p>
    <w:p w14:paraId="1EF3FCF0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- Dobou použitelnosti se rozumí doba, po kterou je majetek využitelný pro současnou nebo uchovatelný pro další činnost nebo může sloužit jako podklad nebo součást zdokonalených nebo jiných postupů a řešení včetně doby ověřování nehmotných výsledků.</w:t>
      </w:r>
    </w:p>
    <w:p w14:paraId="113B5670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- Za dlouhodobý nehmotný majetek se dále považuje technické zhodnocení, jehož ocenění převyšuje částku 60.000,- Kč, a které se týká majetku, k jehož účtování je oprávněn nabyvatel užívacího práva k dlouhodobému nehmotnému majetku, o kterém neúčtuje jako o majetku.</w:t>
      </w:r>
    </w:p>
    <w:p w14:paraId="2C6FB299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- Dále se za technické zhodnocení rozumí technické zhodnocení drobného dlouhodobého nehmotného majetku, jehož jednotlivého technického zhodnocení částka převýšila 60.000,- Kč.</w:t>
      </w:r>
    </w:p>
    <w:p w14:paraId="54235BFE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Dlouhodobý nehmotný majetek se sleduje na účtech:</w:t>
      </w:r>
    </w:p>
    <w:p w14:paraId="6B8CF2E4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012 Nehmotné výsledky výzkumu a vývoje</w:t>
      </w:r>
    </w:p>
    <w:p w14:paraId="194F09F2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013 Software</w:t>
      </w:r>
    </w:p>
    <w:p w14:paraId="083D38CC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014 Ocenitelná práva</w:t>
      </w:r>
    </w:p>
    <w:p w14:paraId="2FB8A035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015 Povolenky na emise a preferenční limity</w:t>
      </w:r>
    </w:p>
    <w:p w14:paraId="58E6F0A3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019 Ostatní dlouhodobý nehmotný majetek</w:t>
      </w:r>
    </w:p>
    <w:p w14:paraId="2EAA7FD2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035 Dlouhodobý nehmotný majetek určený k prodeji</w:t>
      </w:r>
    </w:p>
    <w:p w14:paraId="5DF676A0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041 Nedokončený dlouhodobý nehmotný majetek</w:t>
      </w:r>
    </w:p>
    <w:p w14:paraId="5331C213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051 Poskytnuté zálohy na dlouhodobý nehmotný majetek</w:t>
      </w:r>
    </w:p>
    <w:p w14:paraId="36EF2699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3.1.2 Drobný dlouhodobý nehmotný majetek § 11, odst. 6 prováděcí vyhlášky</w:t>
      </w:r>
    </w:p>
    <w:p w14:paraId="0FA8914E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- Drobným dlouhodobým nehmotným majetkem je majetek podle bodu 3.1.1, pokud je doba použitelnosti delší než 1 rok a ocenění je v částce 7.000,- Kč a vyšší a nepřevyšuje částku 60.000,- Kč.</w:t>
      </w:r>
    </w:p>
    <w:p w14:paraId="50DB0905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Drobný dlouhodobý nehmotný majetek se sleduje na účtu:</w:t>
      </w:r>
    </w:p>
    <w:p w14:paraId="7DF5DAAE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018 - Drobný dlouhodobý nehmotný majetek.</w:t>
      </w:r>
    </w:p>
    <w:p w14:paraId="5BD34B8E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Účtování: 018 MD / 078 DAL</w:t>
      </w:r>
    </w:p>
    <w:p w14:paraId="54067AA6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Náklady z drobného dlouhodobého majetku: 558 MD / 321, 378, 261 DAL</w:t>
      </w:r>
    </w:p>
    <w:p w14:paraId="179C1A02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3.1.3 Dlouhodobý hmotný majetek dle § 14 prováděcí vyhlášky</w:t>
      </w:r>
    </w:p>
    <w:p w14:paraId="5A9E8130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- Za dlouhodobý hmotný majetek se dle vyhlášky rozumí:</w:t>
      </w:r>
    </w:p>
    <w:p w14:paraId="0DCEECB3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a) pozemky bez ohledu na výši ocenění, pokud nejsou zbožím. Nepatří zde součásti pozemků, které jsou odpisovány a vykazují se jako stavby, pěstitelské celky, či dlouhodobý hmotný majetek ostatní (právo stavby, věcné břemeno)</w:t>
      </w:r>
    </w:p>
    <w:p w14:paraId="565B55D5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b) stavby včetně budov, byty a nebytové prostory, umělecká díla, sbírky, movité kulturní památky a předměty kulturní hodnoty bez ohledu na výši ocenění a dobu použitelnosti</w:t>
      </w:r>
    </w:p>
    <w:p w14:paraId="08F8BF2C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c) nemovité kulturní památky, které byly pořízeny koupí, darem, děděním nebo byly již dříve oceněny nebo pokud se tento majetek stal kulturní památkou v průběhu doby používání,</w:t>
      </w:r>
    </w:p>
    <w:p w14:paraId="49CAB8F3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d) technické zhodnocení majetku, jehož ocenění jedné položky převyšuje částku 40 000 Kč a k jehož účtování je oprávněna účetní jednotka, i když není vlastníkem majetku,</w:t>
      </w:r>
    </w:p>
    <w:p w14:paraId="01262470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e) samostatné movité věci a soubor movitých věcí s dobou použitelnosti delší než jeden rok a ocenění jedné položky převyšuje částku 40.000,- Kč. Dále pak technické zhodnocení tohoto majetku pokud převyšuje částku 40.000,- Kč u jedné položky</w:t>
      </w:r>
    </w:p>
    <w:p w14:paraId="2F508E37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f) právo stavby</w:t>
      </w:r>
    </w:p>
    <w:p w14:paraId="406CB04B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lastRenderedPageBreak/>
        <w:t>g) pěstitelské celky trvalých porostů pokud se jedná o ovocné stromy a keře vysázené na souvislém pozemku o výměře 0,25 hektaru v hustotě nejméně 90 stromů nebo 1000 keřů na 1 hektar</w:t>
      </w:r>
    </w:p>
    <w:p w14:paraId="24B40A32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h) dospělá zvířata, bez ohledu na výši ocenění</w:t>
      </w:r>
    </w:p>
    <w:p w14:paraId="29F7F356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i) věcná břemena k pozemku a stavbě, kde je účetní jednotka osobou oprávněnou z věcného břemene. Na tento účet bude účetní jednotka účtovat od hodnoty, která převyšuje částku 40.000,- Kč.</w:t>
      </w:r>
    </w:p>
    <w:p w14:paraId="283EF58C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Dlouhodobý hmotný majetek se sleduje na účtech:</w:t>
      </w:r>
    </w:p>
    <w:p w14:paraId="125EC465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021 Stavby</w:t>
      </w:r>
    </w:p>
    <w:p w14:paraId="58A10393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022 Samostatné movité věci a soubory movitých věcí</w:t>
      </w:r>
    </w:p>
    <w:p w14:paraId="3412F0AD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025 Pěstitelské celky trvalých porostů</w:t>
      </w:r>
    </w:p>
    <w:p w14:paraId="55A7E142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029 Ostatní dlouhodobý hmotný majetek</w:t>
      </w:r>
    </w:p>
    <w:p w14:paraId="24797499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031 Pozemky</w:t>
      </w:r>
    </w:p>
    <w:p w14:paraId="627AE054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032 Kulturní předměty</w:t>
      </w:r>
    </w:p>
    <w:p w14:paraId="1EFCF30C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036 Dlouhodobý hmotný majetek určený k prodeji</w:t>
      </w:r>
    </w:p>
    <w:p w14:paraId="6904E8DA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042 Nedokončený dlouhodobý hmotný majetek</w:t>
      </w:r>
    </w:p>
    <w:p w14:paraId="7C65D6B2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045 Uspořádací účet technického zhodnocení dlouhodobého hmotného majetku</w:t>
      </w:r>
    </w:p>
    <w:p w14:paraId="69EA7342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052 Poskytnuté zálohy na dlouhodobý hmotný majetek</w:t>
      </w:r>
    </w:p>
    <w:p w14:paraId="625489E9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3.1.4 Drobný dlouhodobý hmotný majetek dle § 14, odst. 6 prováděcí vyhlášky</w:t>
      </w:r>
    </w:p>
    <w:p w14:paraId="603B8ECD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 xml:space="preserve">- Za Drobný dlouhodobý hmotný majetek se dle této směrnice považují movité věci, popřípadě soubory movitých věcí se samostatným </w:t>
      </w:r>
      <w:proofErr w:type="spellStart"/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technicko-ekonomickým</w:t>
      </w:r>
      <w:proofErr w:type="spellEnd"/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 xml:space="preserve"> určením, u kterých je doba použitelnosti delší než jeden rok a ocenění jedné položky je v částce 3.000,- Kč a vyšší a nepřevyšuje částku 40.000,- Kč.</w:t>
      </w:r>
    </w:p>
    <w:p w14:paraId="67E24289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- Věcné právo k pozemku nebo stavbě, s výjimkou užívacího práva, kde je účetní jednotka osobou oprávněnou z věcného břemene. Na tento účet bude účetní jednotka účtovat bez ohledu na částku a do hodnoty, která nepřevyšuje částku 40.000,- Kč</w:t>
      </w:r>
    </w:p>
    <w:p w14:paraId="6E1F6978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- Předměty z drahých kovů bez ohledu na výši pořizovací ceny do 40.000,- Kč včetně</w:t>
      </w:r>
    </w:p>
    <w:p w14:paraId="461E096B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- Věci z finančního leasingu koupené nájemcem, popřípadě bezúplatné převzaté bez ohledu na výši pořizovací ceny do 40.000,- Kč včetně</w:t>
      </w:r>
    </w:p>
    <w:p w14:paraId="095C2C36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Drobný dlouhodobý hmotný majetek se sleduje na účtu:</w:t>
      </w:r>
    </w:p>
    <w:p w14:paraId="3018BB08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028 - Drobný dlouhodobý hmotný majetek.</w:t>
      </w:r>
    </w:p>
    <w:p w14:paraId="3FCBEA36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Účtování: 028. MD / 088 DAL</w:t>
      </w:r>
    </w:p>
    <w:p w14:paraId="0CE4FE53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Náklady z drobného dlouhodobého majetku: 558 MD / 321, 378, 261 DAL</w:t>
      </w:r>
    </w:p>
    <w:p w14:paraId="47FD6E6C" w14:textId="77777777" w:rsidR="006420D5" w:rsidRPr="00F32FD6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F32FD6">
        <w:rPr>
          <w:rFonts w:ascii="Segoe UI" w:eastAsia="Times New Roman" w:hAnsi="Segoe UI" w:cs="Segoe UI"/>
          <w:sz w:val="21"/>
          <w:szCs w:val="21"/>
          <w:lang w:eastAsia="cs-CZ"/>
        </w:rPr>
        <w:t>3.1.5 Dlouhodobý finanční majetek dle § 17 prováděcí vyhlášky</w:t>
      </w:r>
    </w:p>
    <w:p w14:paraId="60820EE2" w14:textId="77777777" w:rsidR="006420D5" w:rsidRPr="00F32FD6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F32FD6">
        <w:rPr>
          <w:rFonts w:ascii="Segoe UI" w:eastAsia="Times New Roman" w:hAnsi="Segoe UI" w:cs="Segoe UI"/>
          <w:sz w:val="21"/>
          <w:szCs w:val="21"/>
          <w:lang w:eastAsia="cs-CZ"/>
        </w:rPr>
        <w:t>- Za dlouhodobý finanční majetek se dle této směrnice považují dlouhodobé cenné papíry a podíly, u kterých je záměr účetní jednotky je držet déle než jeden rok:</w:t>
      </w:r>
    </w:p>
    <w:p w14:paraId="208D29C2" w14:textId="3089463E" w:rsidR="006420D5" w:rsidRPr="00F32FD6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F32FD6">
        <w:rPr>
          <w:rFonts w:ascii="Segoe UI" w:eastAsia="Times New Roman" w:hAnsi="Segoe UI" w:cs="Segoe UI"/>
          <w:sz w:val="21"/>
          <w:szCs w:val="21"/>
          <w:lang w:eastAsia="cs-CZ"/>
        </w:rPr>
        <w:t>- Majetkové účasti v osobách s rozhodujícím vlivem, které účetní jednotka určila k</w:t>
      </w:r>
      <w:r w:rsidR="002A73AA" w:rsidRPr="00F32FD6">
        <w:rPr>
          <w:rFonts w:ascii="Segoe UI" w:eastAsia="Times New Roman" w:hAnsi="Segoe UI" w:cs="Segoe UI"/>
          <w:sz w:val="21"/>
          <w:szCs w:val="21"/>
          <w:lang w:eastAsia="cs-CZ"/>
        </w:rPr>
        <w:t> </w:t>
      </w:r>
      <w:r w:rsidRPr="00F32FD6">
        <w:rPr>
          <w:rFonts w:ascii="Segoe UI" w:eastAsia="Times New Roman" w:hAnsi="Segoe UI" w:cs="Segoe UI"/>
          <w:sz w:val="21"/>
          <w:szCs w:val="21"/>
          <w:lang w:eastAsia="cs-CZ"/>
        </w:rPr>
        <w:t>držen</w:t>
      </w:r>
      <w:r w:rsidR="002A73AA" w:rsidRPr="00F32FD6">
        <w:rPr>
          <w:rFonts w:ascii="Segoe UI" w:eastAsia="Times New Roman" w:hAnsi="Segoe UI" w:cs="Segoe UI"/>
          <w:sz w:val="21"/>
          <w:szCs w:val="21"/>
          <w:lang w:eastAsia="cs-CZ"/>
        </w:rPr>
        <w:t>í r</w:t>
      </w:r>
      <w:r w:rsidRPr="00F32FD6">
        <w:rPr>
          <w:rFonts w:ascii="Segoe UI" w:eastAsia="Times New Roman" w:hAnsi="Segoe UI" w:cs="Segoe UI"/>
          <w:sz w:val="21"/>
          <w:szCs w:val="21"/>
          <w:lang w:eastAsia="cs-CZ"/>
        </w:rPr>
        <w:t>ozhodujícím vlivem se rozumí větší než 50% podíl na základním kapitálu jiného podniku. Rozhodujícím vlivem je schopnost účetní jednotky řídit finanční a operativní politiku jiné společnosti a tak dosahovat prospěchu z jejich aktivit, a dále, že rozhodující vliv účetní jednotka vykonává vždy, když splňuje alespoň jednu z podmínek uvedené níže a), b), c).</w:t>
      </w:r>
    </w:p>
    <w:p w14:paraId="6287B511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Ovládající osobou se rozumí osoba, která je:</w:t>
      </w:r>
    </w:p>
    <w:p w14:paraId="0B3A32DB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- fakticky nebo právně vykonává</w:t>
      </w:r>
    </w:p>
    <w:p w14:paraId="52BDC1B1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- přímo nebo nepřímo (tj. prostřednictvím jiné osoby či jiných osob)</w:t>
      </w:r>
    </w:p>
    <w:p w14:paraId="54BC7DBD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- rozhodující vliv na řízení nebo provozování podniku jiné osoby.</w:t>
      </w:r>
    </w:p>
    <w:p w14:paraId="5E309EB7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Ovládající osobou je vždy osoba, která je:</w:t>
      </w:r>
    </w:p>
    <w:p w14:paraId="0A45B145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a) většinovým společníkem, to neplatí při použití písm. b)</w:t>
      </w:r>
    </w:p>
    <w:p w14:paraId="2EAE4EED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b) disponuje většinou hlasovacích práv na základě dohody uzavřené s jiným společníkem nebo společníky</w:t>
      </w:r>
    </w:p>
    <w:p w14:paraId="7016B00A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c) může prosadit jmenování nebo volbu nebo odvolání většiny osob</w:t>
      </w:r>
    </w:p>
    <w:p w14:paraId="316C5696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lastRenderedPageBreak/>
        <w:t>- Majetková účasti osobách s podstatným vlivem, které účetní jednotka určila k držení Dle </w:t>
      </w:r>
      <w:hyperlink r:id="rId16" w:anchor="L1590" w:history="1">
        <w:r w:rsidRPr="006420D5">
          <w:rPr>
            <w:rFonts w:ascii="Segoe UI" w:eastAsia="Times New Roman" w:hAnsi="Segoe UI" w:cs="Segoe UI"/>
            <w:color w:val="0000FF"/>
            <w:sz w:val="21"/>
            <w:szCs w:val="21"/>
            <w:u w:val="single"/>
            <w:lang w:eastAsia="cs-CZ"/>
          </w:rPr>
          <w:t>§ 22, odst. 5</w:t>
        </w:r>
      </w:hyperlink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 Zákona o účetnictví se podstatným vlivem se rozumí takový významný vliv na řízení nebo provozování podniku podle zvláštního právního předpisu, jenž není rozhodující ani společný; není-li prokázán opak, považuje se za podstatný vliv dispozice nejméně s 20 % hlasovacích práv.</w:t>
      </w:r>
    </w:p>
    <w:p w14:paraId="2687B47D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Podstatným vlivem se rozumí takový významný vliv na řízení nebo provozování podniku podle zvláštního právního předpisu, jenž není rozhodující ani společný. Není-li prokázán opak, považuje se za podstatný vliv dispozice nejméně s 20 % hlasovacích práv. Též se dá říci, že podstatný vliv je schopnost ÚJ podílet se na finanční a operativní politice jiné společnosti, ale bez schopnosti vykonávat rozhodující vliv.</w:t>
      </w:r>
    </w:p>
    <w:p w14:paraId="3F23DA3B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Podstatný vliv se projevuje zejména:</w:t>
      </w:r>
    </w:p>
    <w:p w14:paraId="5D77D376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- zástupcem ve statutárním orgánu přidružené společnosti,</w:t>
      </w:r>
    </w:p>
    <w:p w14:paraId="58F84163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- účastí při tvorbě politiky přidružené společnosti,</w:t>
      </w:r>
    </w:p>
    <w:p w14:paraId="46F165E8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- významnými operacemi mezi přidruženou společností a účetní jednotkou, která v ní uplatňuje podstatný vliv,</w:t>
      </w:r>
    </w:p>
    <w:p w14:paraId="35DF412F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- výměnou řídících pracovníků mezi přidruženou společností a účetní jednotkou, která v ní uplatňuje podstatný vliv,</w:t>
      </w:r>
    </w:p>
    <w:p w14:paraId="50D481FD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- přístupem k podstatným technickým informacím přidružené společnosti</w:t>
      </w:r>
    </w:p>
    <w:p w14:paraId="038B9F8E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- Dluhové cenné papíry držené do splatnosti</w:t>
      </w:r>
    </w:p>
    <w:p w14:paraId="1E74B97E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Jedná se o dluhové cenné papíry, které mají stanovenou splatnost nad 1 rok a u nichž má účetní jednotka úmysl a schopnost držet je do splatnosti.</w:t>
      </w:r>
    </w:p>
    <w:p w14:paraId="7EFCE55F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Dluhové cenné papíry jsou založeny na úvěrovém vztahu mezi dlužníkem a věřitelem. U tohoto typu CP má dlužník za povinnost splatit do určité doby nejen zapůjčenou částku, ale i úrok.</w:t>
      </w:r>
    </w:p>
    <w:p w14:paraId="46F85C1B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Dluhovým cenným papírem se pro účely této směrnice rozumí cenný papír úvěrové povahy, například dluhopis s pevnou úrokovou sazbou, dluhopis, kdy je úrokový výnos stanoven rozdílem mezi jmenovitou hodnotou a jeho nižším emisním kursem, a směnka.</w:t>
      </w:r>
    </w:p>
    <w:p w14:paraId="40F2558B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- Jedná se o poskytnutí dlouhodobé půjčky, tj. se splatností více jak 1 rok podle </w:t>
      </w:r>
      <w:hyperlink r:id="rId17" w:history="1">
        <w:r w:rsidRPr="006420D5">
          <w:rPr>
            <w:rFonts w:ascii="Segoe UI" w:eastAsia="Times New Roman" w:hAnsi="Segoe UI" w:cs="Segoe UI"/>
            <w:color w:val="0000FF"/>
            <w:sz w:val="21"/>
            <w:szCs w:val="21"/>
            <w:u w:val="single"/>
            <w:lang w:eastAsia="cs-CZ"/>
          </w:rPr>
          <w:t>občanského zákoníku</w:t>
        </w:r>
      </w:hyperlink>
    </w:p>
    <w:p w14:paraId="2BC89841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- Termínované vklady dlouhodobé</w:t>
      </w:r>
    </w:p>
    <w:p w14:paraId="4985B886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Jedná se o dlouhodobé termínované vklady u bank po dobu splatnosti delší než 1 rok, vkladové listy a depozitní certifikáty</w:t>
      </w:r>
    </w:p>
    <w:p w14:paraId="2A04CE63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- Ostatní dlouhodobý finanční majetek</w:t>
      </w:r>
    </w:p>
    <w:p w14:paraId="156E8069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Jedná se např. o majetkovou účast, kterou účetní jednotka hodlá držet více jak 1 rok, ale účetní jednotka nemá významný vliv na řízení.</w:t>
      </w:r>
    </w:p>
    <w:p w14:paraId="4B410AD2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Dlouhodobý majetek se sleduje na účtech:</w:t>
      </w:r>
    </w:p>
    <w:p w14:paraId="1948E97E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061 Majetkové účasti v osobách s rozhodujícím vlivem</w:t>
      </w:r>
    </w:p>
    <w:p w14:paraId="1D323A07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062 Majetkové účasti v osobách s podstatným vlivem</w:t>
      </w:r>
    </w:p>
    <w:p w14:paraId="2AE8DB50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063 Dluhové cenné papíry držené do splatnosti</w:t>
      </w:r>
    </w:p>
    <w:p w14:paraId="42324B74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067 Dlouhodobé půjčky</w:t>
      </w:r>
    </w:p>
    <w:p w14:paraId="1E856E3F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068 Termínované vklady dlouhodobé</w:t>
      </w:r>
    </w:p>
    <w:p w14:paraId="7FE316D6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069 Ostatní dlouhodobý finanční majetek</w:t>
      </w:r>
    </w:p>
    <w:p w14:paraId="45F01989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043 Pořizovaný dlouhodobý finanční majetek</w:t>
      </w:r>
    </w:p>
    <w:p w14:paraId="2710781C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053 - Poskytnuté zálohy na dlouhodobý finanční majetek</w:t>
      </w:r>
    </w:p>
    <w:p w14:paraId="3DDC8DC2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3.1.6 Ostatní drobný hmotný a nehmotný majetek</w:t>
      </w:r>
    </w:p>
    <w:p w14:paraId="51371F2C" w14:textId="77777777" w:rsidR="006420D5" w:rsidRPr="00F32FD6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F32FD6">
        <w:rPr>
          <w:rFonts w:ascii="Segoe UI" w:eastAsia="Times New Roman" w:hAnsi="Segoe UI" w:cs="Segoe UI"/>
          <w:sz w:val="21"/>
          <w:szCs w:val="21"/>
          <w:lang w:eastAsia="cs-CZ"/>
        </w:rPr>
        <w:t>3.1.6.1 Hmotný majetek bez ohledu na výši pořízení do 2.999,99 a dobou použitelnosti více než 1 rok, je veden v podrozvaze</w:t>
      </w:r>
    </w:p>
    <w:p w14:paraId="4AB3B0B4" w14:textId="77777777" w:rsidR="006420D5" w:rsidRPr="00F32FD6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F32FD6">
        <w:rPr>
          <w:rFonts w:ascii="Segoe UI" w:eastAsia="Times New Roman" w:hAnsi="Segoe UI" w:cs="Segoe UI"/>
          <w:sz w:val="21"/>
          <w:szCs w:val="21"/>
          <w:lang w:eastAsia="cs-CZ"/>
        </w:rPr>
        <w:t>Účtování: 501 MD / 321, 378, 261 DAL</w:t>
      </w:r>
    </w:p>
    <w:p w14:paraId="6A8EBB6F" w14:textId="77777777" w:rsidR="006420D5" w:rsidRPr="00F32FD6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F32FD6">
        <w:rPr>
          <w:rFonts w:ascii="Segoe UI" w:eastAsia="Times New Roman" w:hAnsi="Segoe UI" w:cs="Segoe UI"/>
          <w:sz w:val="21"/>
          <w:szCs w:val="21"/>
          <w:lang w:eastAsia="cs-CZ"/>
        </w:rPr>
        <w:t>Podrozvahové účty: 902 MD / 999.902 DAL</w:t>
      </w:r>
    </w:p>
    <w:p w14:paraId="00B98D8F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3.1.6.2 Nehmotný majetek bez ohledu na výši pořízení do 6.999,99 a dobou použitelnosti více než 1 rok, je veden v podrozvaze</w:t>
      </w:r>
    </w:p>
    <w:p w14:paraId="69786091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Účtování: 518 MD / 321, 378, 261 DAL</w:t>
      </w:r>
    </w:p>
    <w:p w14:paraId="4A1D8EAA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lastRenderedPageBreak/>
        <w:t>Podrozvahové účty: 901 MD / 999.901 DAL</w:t>
      </w:r>
    </w:p>
    <w:p w14:paraId="6AF6FBF4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cs-CZ"/>
        </w:rPr>
        <w:t>IV. POŘÍZENÍ A OCENĚNÍ DLOUHODOBÉHO MAJETKU</w:t>
      </w:r>
    </w:p>
    <w:p w14:paraId="202CA492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cs-CZ"/>
        </w:rPr>
        <w:t>4.1 Pořízení dlouhodobého nehmotného majetku</w:t>
      </w:r>
    </w:p>
    <w:p w14:paraId="6BB2424A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Do doby uvedení majetku do stavu způsobilého užívání se pořizovaný majetek sleduje na účtu 041 s tím, že jednotlivé druhy pořizovaných majetků se analyticky člení.</w:t>
      </w:r>
    </w:p>
    <w:p w14:paraId="30A5F523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Účtování:</w:t>
      </w:r>
    </w:p>
    <w:p w14:paraId="69BA1B0D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MD 041/321, 378, 261 DAL</w:t>
      </w:r>
    </w:p>
    <w:p w14:paraId="23ACABAC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Poskytnuté zálohy na pořízení dlouhodobého nehmotného majetku se sledují na účtu 051</w:t>
      </w:r>
    </w:p>
    <w:p w14:paraId="3242B92E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cs-CZ"/>
        </w:rPr>
        <w:t>4.2 Pořízení dlouhodobého nehmotného majetku bezúplatně od vybrané účetní jednotky</w:t>
      </w:r>
    </w:p>
    <w:p w14:paraId="44C6EF6E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V případě, kdy účetní jednotka pořizuje majetek od vybrané účetní jednotky bezúplatně, je povinna účetní jednotka zařadit majetek do účetnictví v zůstatkové ceně předávající účetní jednotky.</w:t>
      </w:r>
    </w:p>
    <w:p w14:paraId="1EDC2103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Účtování:</w:t>
      </w:r>
    </w:p>
    <w:p w14:paraId="7DEB1F97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041 MD / 401 DAL - pořizovací cena u vybrané účetní jednotky</w:t>
      </w:r>
    </w:p>
    <w:p w14:paraId="4027EA34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401 MD / 07x DAL - oprávky ke dni vyřazení u vybrané účetní jednotky</w:t>
      </w:r>
    </w:p>
    <w:p w14:paraId="56509A97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cs-CZ"/>
        </w:rPr>
        <w:t>4.3 Pořízení technického zhodnocení nehmotného majetku</w:t>
      </w:r>
    </w:p>
    <w:p w14:paraId="6D477A8E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4.3.1 na účet 041 - nedokončený dlouhodobý nehmotný majetek</w:t>
      </w:r>
    </w:p>
    <w:p w14:paraId="6A358269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Na účet účtuje účetní jednotka, pokud hodnota oceněného plnění za jednotlivé ocenění je vyšší než 60.000,- Kč.</w:t>
      </w:r>
    </w:p>
    <w:p w14:paraId="21D8D47B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Pro jednoznačné vymezení výdajů je rozhodující, zda majetek nezhodnocují a nezvyšují jeho hodnotu nebo zda naopak jeho hodnotu zvyšují a majetek zhodnocují. Z tohoto důvodu musí být vždy již před zahájením financování akcí při přípravě, objednávání a uzavírání smluv rozhodnuto, zda se bude jednat o:</w:t>
      </w:r>
    </w:p>
    <w:p w14:paraId="165C4076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- nové pořízení</w:t>
      </w:r>
    </w:p>
    <w:p w14:paraId="6C21B72C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- technické zhodnocení (modernizaci, rekonstrukci, nástavbu, přístavbu a st. úpravu)</w:t>
      </w:r>
    </w:p>
    <w:p w14:paraId="647CF7B0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Za technické zhodnocení se dle </w:t>
      </w:r>
      <w:hyperlink r:id="rId18" w:anchor="L2811" w:history="1">
        <w:r w:rsidRPr="006420D5">
          <w:rPr>
            <w:rFonts w:ascii="Segoe UI" w:eastAsia="Times New Roman" w:hAnsi="Segoe UI" w:cs="Segoe UI"/>
            <w:color w:val="0000FF"/>
            <w:sz w:val="21"/>
            <w:szCs w:val="21"/>
            <w:u w:val="single"/>
            <w:lang w:eastAsia="cs-CZ"/>
          </w:rPr>
          <w:t>§ 55, odst. 4</w:t>
        </w:r>
      </w:hyperlink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 Vyhlášky č. 410/2009 Sb. považuje zásah do dlouhodobého nehmotného majetku uvedeného do užívání, včetně nástaveb, přístaveb a stavebních úprav, které má za následek:</w:t>
      </w:r>
    </w:p>
    <w:p w14:paraId="2936F993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- změnu jeho účelu nebo technických parametrů,</w:t>
      </w:r>
    </w:p>
    <w:p w14:paraId="3D113FB0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- rozšíření vybavenosti nebo použitelnosti majetku</w:t>
      </w:r>
    </w:p>
    <w:p w14:paraId="59C5211F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pokud vynaložené náklady dosáhnou ocenění vyšší než 60.000,- Kč.</w:t>
      </w:r>
    </w:p>
    <w:p w14:paraId="7A948876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cs-CZ"/>
        </w:rPr>
        <w:t>4.4 Pořízení dlouhodobého hmotného majetku</w:t>
      </w:r>
    </w:p>
    <w:p w14:paraId="2F440DC8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Do doby uvedení majetku do stavu způsobilého užívání se pořizovaný majetek sleduje na účtu 042 s tím, že jednotlivé druhy pořizovaných majetků se analyticky člení.</w:t>
      </w:r>
    </w:p>
    <w:p w14:paraId="60D16F52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Účtování:</w:t>
      </w:r>
    </w:p>
    <w:p w14:paraId="5DA8896F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MD 042/321, 378, 261 DAL</w:t>
      </w:r>
    </w:p>
    <w:p w14:paraId="25AD4FB4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Poskytnuté zálohy na pořízení dlouhodobého hmotného majetku se sledují na účtu MD 052.</w:t>
      </w:r>
    </w:p>
    <w:p w14:paraId="04D760D8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cs-CZ"/>
        </w:rPr>
        <w:t>4.5 Pořízení dlouhodobého hmotného majetku bezúplatně od vybrané účetní jednotky</w:t>
      </w:r>
    </w:p>
    <w:p w14:paraId="55AAF7A3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V případě, kdy účetní jednotka pořizuje majetek od vybrané účetní jednotky bezúplatně, je povinna účetní jednotka zařadit majetek do účetnictví v zůstatkové ceně předávající účetní jednotky.</w:t>
      </w:r>
    </w:p>
    <w:p w14:paraId="1AEB18C2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Účtování:</w:t>
      </w:r>
    </w:p>
    <w:p w14:paraId="48219D92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042 MD / 401 DAL - pořizovací cena u vybrané účetní jednotky</w:t>
      </w:r>
    </w:p>
    <w:p w14:paraId="4CA6D4BD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401 MD / 08x DAL - oprávky ke dni vyřazení u vybrané účetní jednotky</w:t>
      </w:r>
    </w:p>
    <w:p w14:paraId="373C2350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cs-CZ"/>
        </w:rPr>
        <w:t>4.6 Pořízení dlouhodobého nemovitého a movitého majetku za účelem bezúplatného předání</w:t>
      </w:r>
    </w:p>
    <w:p w14:paraId="192386F0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Účetní jednotka o zásobách účtuje způsobem A.</w:t>
      </w:r>
    </w:p>
    <w:p w14:paraId="02FC549F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V případě, kdy účetní jednotka pořizuje nemovitý a movitý majetek za účelem bezúplatného předání, kromě předání vybrané účetní jednotce, bude účetní jednotka o nabytí tohoto majetku účtovat následujícím způsobem:</w:t>
      </w:r>
    </w:p>
    <w:p w14:paraId="25470A6A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139 MD / 321, 378, 261 DAL</w:t>
      </w:r>
    </w:p>
    <w:p w14:paraId="31675642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cs-CZ"/>
        </w:rPr>
        <w:t>4.7 Pořízení technického zhodnocení nehmotného majetku</w:t>
      </w:r>
    </w:p>
    <w:p w14:paraId="6464F2F9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4.7.1 na účet 042 - nedokončený dlouhodobý hmotný majetek</w:t>
      </w:r>
    </w:p>
    <w:p w14:paraId="0FCA21DD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lastRenderedPageBreak/>
        <w:t>Na účet účtuje účetní jednotka, pokud hodnota oceněného plnění za jednotlivé ocenění je vyšší než 40.000,- Kč.</w:t>
      </w:r>
    </w:p>
    <w:p w14:paraId="5881C1DF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Pro jednoznačné vymezení výdajů je rozhodující, zda majetek nezhodnocují a nezvyšují jeho hodnotu nebo zda naopak jeho hodnotu zvyšují a majetek zhodnocují. Z tohoto důvodu musí být vždy již před zahájením financování akcí při přípravě, objednávání a uzavírání smluv rozhodnuto, zda se bude jednat o:</w:t>
      </w:r>
    </w:p>
    <w:p w14:paraId="04F776C2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- nové pořízení</w:t>
      </w:r>
    </w:p>
    <w:p w14:paraId="2493B5CA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- technické zhodnocení (modernizaci, rekonstrukci, nástavbu, přístavbu a st. úpravu)</w:t>
      </w:r>
    </w:p>
    <w:p w14:paraId="51B1BA88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Za technické zhodnocení se dle </w:t>
      </w:r>
      <w:hyperlink r:id="rId19" w:anchor="L2811" w:history="1">
        <w:r w:rsidRPr="006420D5">
          <w:rPr>
            <w:rFonts w:ascii="Segoe UI" w:eastAsia="Times New Roman" w:hAnsi="Segoe UI" w:cs="Segoe UI"/>
            <w:color w:val="0000FF"/>
            <w:sz w:val="21"/>
            <w:szCs w:val="21"/>
            <w:u w:val="single"/>
            <w:lang w:eastAsia="cs-CZ"/>
          </w:rPr>
          <w:t>§ 55, odst. 4</w:t>
        </w:r>
      </w:hyperlink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 Vyhlášky č. 410/2009 Sb. považuje zásah do dlouhodobého nehmotného majetku uvedeného do užívání, včetně nástaveb, přístaveb a stavebních úprav, které má za následek:</w:t>
      </w:r>
    </w:p>
    <w:p w14:paraId="2A4DDD6E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- změnu jeho účelu nebo technických parametrů,</w:t>
      </w:r>
    </w:p>
    <w:p w14:paraId="08349FA1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- rozšíření vybavenosti nebo použitelnosti majetku</w:t>
      </w:r>
    </w:p>
    <w:p w14:paraId="65DC8EB8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pokud vynaložené náklady dosáhnou ocenění vyšší než 40.000,- Kč.</w:t>
      </w:r>
    </w:p>
    <w:p w14:paraId="595C21A0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cs-CZ"/>
        </w:rPr>
        <w:t>4.8 Pořízení dlouhodobého finančního majetku</w:t>
      </w:r>
    </w:p>
    <w:p w14:paraId="3E82EFD6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Do doby uvedení majetku do stavu způsobilého užívání se pořizovaný majetek sleduje na účtu 043 s tím, že jednotlivé druhy pořizovaných majetků se analyticky člení.</w:t>
      </w:r>
    </w:p>
    <w:p w14:paraId="4037B01F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Účtování:</w:t>
      </w:r>
    </w:p>
    <w:p w14:paraId="336C64C3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MD 043/321, 378, 261 DAL</w:t>
      </w:r>
    </w:p>
    <w:p w14:paraId="60625BF6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Poskytnuté zálohy na pořízení dlouhodobého finančního majetku se sledují na účtu MD 053</w:t>
      </w:r>
    </w:p>
    <w:p w14:paraId="386EE561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cs-CZ"/>
        </w:rPr>
        <w:t>4.9 Vymezení nákladů souvisejících s pořízením dlouhodobého nehmotného a hmotného majetku v souladu s § 55 prováděcí vyhlášky</w:t>
      </w:r>
    </w:p>
    <w:p w14:paraId="11627B21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Součástí pořizovací ceny dlouhodobého majetku jsou i náklady související s pořízením</w:t>
      </w:r>
    </w:p>
    <w:p w14:paraId="0A1A6002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- Do pořizovací ceny se zahrnují zejména tyto náklady:</w:t>
      </w:r>
    </w:p>
    <w:p w14:paraId="30E1D6FD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- Příprava a zabezpečení pořizovaného majetku, tj. poradenské služby, zprostředkování, správní poplatky, expertízy, patentové rešerše a předprojektové přípravné práce.</w:t>
      </w:r>
    </w:p>
    <w:p w14:paraId="63016C78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- Odvody za dočasné nebo trvalé odnětí zemědělské půdy.</w:t>
      </w:r>
    </w:p>
    <w:p w14:paraId="48AB1926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- Geodetické, průzkumné a projektové práce.</w:t>
      </w:r>
    </w:p>
    <w:p w14:paraId="66F0B3AC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- Clo.</w:t>
      </w:r>
    </w:p>
    <w:p w14:paraId="3B29CAC4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- Dopravné.</w:t>
      </w:r>
    </w:p>
    <w:p w14:paraId="4D548FA7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- Montážní práce.</w:t>
      </w:r>
    </w:p>
    <w:p w14:paraId="4017DA53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- Licence a patenty.</w:t>
      </w:r>
    </w:p>
    <w:p w14:paraId="6E1F8821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- Vyřazení stávajících staveb, nebo jejich částí, z důvodu nové výstavby.</w:t>
      </w:r>
    </w:p>
    <w:p w14:paraId="4AB63BFF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- Náklady na přeložky.</w:t>
      </w:r>
    </w:p>
    <w:p w14:paraId="4C286F97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- Zkoušky před uvedením majetku do stavu způsobilého k užívání.</w:t>
      </w:r>
    </w:p>
    <w:p w14:paraId="464DD869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- Věcná břemena.</w:t>
      </w:r>
    </w:p>
    <w:p w14:paraId="337404D8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- Do pořizovací ceny se nezahrnují zejména tyto náklady:</w:t>
      </w:r>
    </w:p>
    <w:p w14:paraId="04EA9E00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- Projekt na stavbu plně hrazenou z provozních prostředků (opravu, údržbu).</w:t>
      </w:r>
    </w:p>
    <w:p w14:paraId="37BC1D13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- Úrok z investičních úvěrů od doby uvedení pořizované investice do užívání.</w:t>
      </w:r>
    </w:p>
    <w:p w14:paraId="46B428C9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 xml:space="preserve">- Tzv. správní režie, tedy provozní výdaje (poštovné, mzdy zaměstnanců, </w:t>
      </w:r>
      <w:proofErr w:type="spellStart"/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kanc</w:t>
      </w:r>
      <w:proofErr w:type="spellEnd"/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. materiál).</w:t>
      </w:r>
    </w:p>
    <w:p w14:paraId="088D7A6B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- Penále, smluvní pokuta, úrok z prodlení.</w:t>
      </w:r>
    </w:p>
    <w:p w14:paraId="369E14B7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- Vybavení stavby drobným dlouhodobým majetkem.</w:t>
      </w:r>
    </w:p>
    <w:p w14:paraId="698D9302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- Náklady na opravu a udržování dlouhodobého hmotného majetku, pokud tím nedojde k technickému zhodnocení.</w:t>
      </w:r>
    </w:p>
    <w:p w14:paraId="774DAE75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- Demolice, pokud není součástí nové výstavby.</w:t>
      </w:r>
    </w:p>
    <w:p w14:paraId="7A2AAC92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cs-CZ"/>
        </w:rPr>
        <w:t>4.10 Vymezení nákladů souvisejících s pořízením cenných papírů a podílů v souladu s § 56 prováděcí vyhlášky</w:t>
      </w:r>
    </w:p>
    <w:p w14:paraId="522B56CC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Součástí pořizovací ceny související s pořízením cenných papírů a podílů jsou i náklady související s pořízením</w:t>
      </w:r>
    </w:p>
    <w:p w14:paraId="63ADB064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- Do pořizovací ceny se zahrnují zejména tyto náklady:</w:t>
      </w:r>
    </w:p>
    <w:p w14:paraId="1954D5D4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lastRenderedPageBreak/>
        <w:t>- Poplatky makléřům.</w:t>
      </w:r>
    </w:p>
    <w:p w14:paraId="669BF643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- Poplatky poradcům.</w:t>
      </w:r>
    </w:p>
    <w:p w14:paraId="084356CA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- Do pořizovací ceny se nezahrnují zejména tyto náklady:</w:t>
      </w:r>
    </w:p>
    <w:p w14:paraId="1A652CD2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- Úroky z úvěrů na pořízení cenných papírů a podílů.</w:t>
      </w:r>
    </w:p>
    <w:p w14:paraId="367538ED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- Náklady spojené s držbou cenného papíru a podílu.</w:t>
      </w:r>
    </w:p>
    <w:p w14:paraId="4A159E42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cs-CZ"/>
        </w:rPr>
        <w:t>4.11 Nedílná součást stavby</w:t>
      </w:r>
    </w:p>
    <w:p w14:paraId="3A6532BA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Nedílnou součástí domů, budov a staveb jsou zařízení a předměty, které z hlediska stavebního díla umožňují jeho funkci a účel, ke kterému je určeno. Takováto zařízení a předměty musí být se stavebním dílem pevně spojena a jsou zpravidla součástí celkové dodávky stavebního díla.</w:t>
      </w:r>
    </w:p>
    <w:p w14:paraId="5757E0DC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cs-CZ"/>
        </w:rPr>
        <w:t>4.12 Zásady pro uvedení majetku do užívání</w:t>
      </w:r>
    </w:p>
    <w:p w14:paraId="615A4936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Pro zařazení majetku do užívání bude vypracován protokol "Zařazení dlouhodobého majetku".</w:t>
      </w:r>
    </w:p>
    <w:p w14:paraId="5FB78F08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Majetek se zařazuje do užívání dnem uvedeným v zařazovacím protokolu.</w:t>
      </w:r>
    </w:p>
    <w:p w14:paraId="1FF70DC2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Účtování:</w:t>
      </w:r>
    </w:p>
    <w:p w14:paraId="63D79BDF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MD 01x/041 DAL</w:t>
      </w:r>
    </w:p>
    <w:p w14:paraId="6183B664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MD 02x/042 DAL</w:t>
      </w:r>
    </w:p>
    <w:p w14:paraId="14F90840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MD 03x/042 DAL</w:t>
      </w:r>
    </w:p>
    <w:p w14:paraId="30BE44A3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MD 06x/043 DAL</w:t>
      </w:r>
    </w:p>
    <w:p w14:paraId="0E5BDC56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cs-CZ"/>
        </w:rPr>
        <w:t>V. EVIDENCE A INVENTARIZACE DLOUHODOBÉHO MAJETKU</w:t>
      </w:r>
    </w:p>
    <w:p w14:paraId="75208EC7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cs-CZ"/>
        </w:rPr>
        <w:t>5.1 Evidence dlouhodobého majetku</w:t>
      </w:r>
    </w:p>
    <w:p w14:paraId="7D1269B1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- Veškerý majetek vymezený touto směrnicí je označen inventarizačním identifikátorem v souladu s vyhláškou č. </w:t>
      </w:r>
      <w:hyperlink r:id="rId20" w:history="1">
        <w:r w:rsidRPr="006420D5">
          <w:rPr>
            <w:rFonts w:ascii="Segoe UI" w:eastAsia="Times New Roman" w:hAnsi="Segoe UI" w:cs="Segoe UI"/>
            <w:color w:val="0000FF"/>
            <w:sz w:val="21"/>
            <w:szCs w:val="21"/>
            <w:u w:val="single"/>
            <w:lang w:eastAsia="cs-CZ"/>
          </w:rPr>
          <w:t>270/2010 Sb.</w:t>
        </w:r>
      </w:hyperlink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, o inventarizaci majetku a závazků.</w:t>
      </w:r>
    </w:p>
    <w:p w14:paraId="466D9FD0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cs-CZ"/>
        </w:rPr>
        <w:t>5.2 Inventarizace dlouhodobého majetku</w:t>
      </w:r>
    </w:p>
    <w:p w14:paraId="7698D9C8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- Dlouhodobý majetek hmotný, nehmotný i finanční podléhají inventarizaci.</w:t>
      </w:r>
    </w:p>
    <w:p w14:paraId="60E7CB16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cs-CZ"/>
        </w:rPr>
        <w:t>VI. VYŘAZENÍ DLOUHODOBÉHO MAJETKU</w:t>
      </w:r>
    </w:p>
    <w:p w14:paraId="3766E788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cs-CZ"/>
        </w:rPr>
        <w:t>6.1 Vyřazení majetku z evidence</w:t>
      </w:r>
    </w:p>
    <w:p w14:paraId="01CD0C66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Dlouhodobý majetek se vyřazuje zejména prodejem, likvidací, bezúplatným převodem (darováním), převodem na základě právních předpisů, v důsledku škody nebo manka.</w:t>
      </w:r>
    </w:p>
    <w:p w14:paraId="32615D2D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cs-CZ"/>
        </w:rPr>
        <w:t>6.2 Účetní doklad o vyřazení majetku</w:t>
      </w:r>
    </w:p>
    <w:p w14:paraId="5C406310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Účetním dokladem pro vyřazení dlouhodobého majetku z evidence je protokol o vyřazení majetku.</w:t>
      </w:r>
    </w:p>
    <w:p w14:paraId="2D2533E1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cs-CZ"/>
        </w:rPr>
        <w:t>6.3. Zmařená investice</w:t>
      </w:r>
    </w:p>
    <w:p w14:paraId="07441B21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V případě rozhodnutí o zrušení připravovaného nebo rozestavěného dlouhodobého se realizované výdaje odepíší u účtu 04x do nákladů, a to v okamžiku rozhodnutí o ukončení pořizování tohoto majetku:</w:t>
      </w:r>
    </w:p>
    <w:p w14:paraId="5AD1730A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MD 547/04x DAL</w:t>
      </w:r>
    </w:p>
    <w:p w14:paraId="30372D5C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cs-CZ"/>
        </w:rPr>
        <w:t>6.4 Vyřazení nemovitého a movitého majetku nabytého za účelem bezúplatného předání</w:t>
      </w:r>
    </w:p>
    <w:p w14:paraId="4FD3FD62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Účetní jednotka účtuje o zásobách způsobem A.</w:t>
      </w:r>
    </w:p>
    <w:p w14:paraId="12AC8613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V případě, kdy účetní jednotka bezúplatně vyřazuje nemovitý a movitý majetek, který nabyla za účelem bezúplatného předání, kromě předání vybrané účetní jednotce, bude účetní jednotka o vyřazení tohoto majetku účtovat následujícím způsobem:</w:t>
      </w:r>
    </w:p>
    <w:p w14:paraId="7FA048D6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543 MD / 139 DAL</w:t>
      </w:r>
    </w:p>
    <w:p w14:paraId="431733F3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cs-CZ"/>
        </w:rPr>
        <w:t>6.5 Majetek určený k prodeji, přeceněný na reálnou hodnotu v souladu se </w:t>
      </w:r>
      <w:hyperlink r:id="rId21" w:history="1">
        <w:r w:rsidRPr="006420D5">
          <w:rPr>
            <w:rFonts w:ascii="Segoe UI" w:eastAsia="Times New Roman" w:hAnsi="Segoe UI" w:cs="Segoe UI"/>
            <w:b/>
            <w:bCs/>
            <w:color w:val="0000FF"/>
            <w:sz w:val="21"/>
            <w:szCs w:val="21"/>
            <w:u w:val="single"/>
            <w:lang w:eastAsia="cs-CZ"/>
          </w:rPr>
          <w:t>Zákonem o účetnictví</w:t>
        </w:r>
      </w:hyperlink>
      <w:r w:rsidRPr="006420D5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cs-CZ"/>
        </w:rPr>
        <w:t> </w:t>
      </w:r>
      <w:hyperlink r:id="rId22" w:anchor="L1006" w:history="1">
        <w:r w:rsidRPr="006420D5">
          <w:rPr>
            <w:rFonts w:ascii="Segoe UI" w:eastAsia="Times New Roman" w:hAnsi="Segoe UI" w:cs="Segoe UI"/>
            <w:b/>
            <w:bCs/>
            <w:color w:val="0000FF"/>
            <w:sz w:val="21"/>
            <w:szCs w:val="21"/>
            <w:u w:val="single"/>
            <w:lang w:eastAsia="cs-CZ"/>
          </w:rPr>
          <w:t>§ 27, odst. 1, písm. h)</w:t>
        </w:r>
      </w:hyperlink>
    </w:p>
    <w:p w14:paraId="6C30D501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Majetek, který účetní jednotka určila k prodeji, či ke směně, se přeceňuje na reálnou hodnotu. V souvislosti s touto skutečností účetní jednotka zruší případné oprávky a opravné položky vytvořené k tomuto majetku a přeúčtuje tento majetek do doby vyřazení majetku z účetní evidence na účet:</w:t>
      </w:r>
    </w:p>
    <w:p w14:paraId="28687E80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035 - dlouhodobý nehmotný majetek určený k prodeji</w:t>
      </w:r>
    </w:p>
    <w:p w14:paraId="4BC9C725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036 - dlouhodobý hmotný majetek určený k prodeji</w:t>
      </w:r>
    </w:p>
    <w:p w14:paraId="16E9BDB2" w14:textId="77777777" w:rsid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Okamžik vzniku účetního případu o přecenění majetku na reálnou hodnotu, rozpuštění tvorby opravné položky a oprávek a dále i převedení majetku z majetkových účtů na účet 035, či 036 je rozhodnutí, tedy souhlas se záměrem účetní jednotky tento majetek prodat.</w:t>
      </w:r>
    </w:p>
    <w:p w14:paraId="477108A8" w14:textId="77777777" w:rsidR="002A73AA" w:rsidRPr="006420D5" w:rsidRDefault="002A73AA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</w:p>
    <w:p w14:paraId="201F14AE" w14:textId="77777777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cs-CZ"/>
        </w:rPr>
        <w:t>VII. ZÁVĚREČNÁ USTANOVENÍ</w:t>
      </w:r>
    </w:p>
    <w:p w14:paraId="0262B1FA" w14:textId="77777777" w:rsidR="002A73AA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Směrnice je součástí vnitřního organizačního a kontrolního systému účetní jednotky a současně je součást vnitřních směrnic jako celku.</w:t>
      </w:r>
    </w:p>
    <w:p w14:paraId="542A014D" w14:textId="14431411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Směrnice podléhá aktualizaci podle interní potřeby a změn zákonných norem</w:t>
      </w:r>
      <w:r w:rsidR="002A73AA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.</w:t>
      </w:r>
    </w:p>
    <w:p w14:paraId="6A80C887" w14:textId="7A388078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Ustanoveními této směrnice jsou povinni se řídit všichni zaměstnanci účetní jednotky</w:t>
      </w:r>
      <w:r w:rsidR="002A73AA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.</w:t>
      </w:r>
    </w:p>
    <w:p w14:paraId="6999CFE9" w14:textId="1AA9AC02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Kontrolu dodržování této směrnice zabezpečuje kontrolní výbor obce</w:t>
      </w:r>
      <w:r w:rsidR="002A73AA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.</w:t>
      </w:r>
    </w:p>
    <w:p w14:paraId="4CCA1AED" w14:textId="01378739" w:rsidR="006420D5" w:rsidRPr="006420D5" w:rsidRDefault="006420D5" w:rsidP="006420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 xml:space="preserve">Návrh na aktualizaci a doplnění této směrnice podává </w:t>
      </w:r>
      <w:r w:rsidR="002A73AA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 xml:space="preserve">starosta </w:t>
      </w:r>
      <w:r w:rsidRPr="006420D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 xml:space="preserve">a schvaluje </w:t>
      </w:r>
      <w:r w:rsidR="002A73AA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Zastupitelstvo městyse Liteň.</w:t>
      </w:r>
    </w:p>
    <w:p w14:paraId="0077C48D" w14:textId="77777777" w:rsidR="009938A7" w:rsidRDefault="009938A7"/>
    <w:sectPr w:rsidR="00993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0D5"/>
    <w:rsid w:val="00003535"/>
    <w:rsid w:val="000E0014"/>
    <w:rsid w:val="000E450F"/>
    <w:rsid w:val="00181ECD"/>
    <w:rsid w:val="001A552C"/>
    <w:rsid w:val="001C047E"/>
    <w:rsid w:val="002A73AA"/>
    <w:rsid w:val="002F3ACF"/>
    <w:rsid w:val="003D7558"/>
    <w:rsid w:val="006225F9"/>
    <w:rsid w:val="006319D8"/>
    <w:rsid w:val="006420D5"/>
    <w:rsid w:val="00836D17"/>
    <w:rsid w:val="008527C9"/>
    <w:rsid w:val="009938A7"/>
    <w:rsid w:val="00BC34D9"/>
    <w:rsid w:val="00CD208C"/>
    <w:rsid w:val="00F32FD6"/>
    <w:rsid w:val="00FE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7FDB3"/>
  <w15:chartTrackingRefBased/>
  <w15:docId w15:val="{F3B92C3B-422A-40BA-8EB4-62A5112E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A55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4">
    <w:name w:val="s4"/>
    <w:basedOn w:val="Standardnpsmoodstavce"/>
    <w:rsid w:val="006420D5"/>
  </w:style>
  <w:style w:type="character" w:customStyle="1" w:styleId="s5">
    <w:name w:val="s5"/>
    <w:basedOn w:val="Standardnpsmoodstavce"/>
    <w:rsid w:val="006420D5"/>
  </w:style>
  <w:style w:type="character" w:customStyle="1" w:styleId="s1">
    <w:name w:val="s1"/>
    <w:basedOn w:val="Standardnpsmoodstavce"/>
    <w:rsid w:val="006420D5"/>
  </w:style>
  <w:style w:type="character" w:styleId="Hypertextovodkaz">
    <w:name w:val="Hyperlink"/>
    <w:basedOn w:val="Standardnpsmoodstavce"/>
    <w:uiPriority w:val="99"/>
    <w:semiHidden/>
    <w:unhideWhenUsed/>
    <w:rsid w:val="006420D5"/>
    <w:rPr>
      <w:color w:val="0000FF"/>
      <w:u w:val="single"/>
    </w:rPr>
  </w:style>
  <w:style w:type="character" w:customStyle="1" w:styleId="s30">
    <w:name w:val="s30"/>
    <w:basedOn w:val="Standardnpsmoodstavce"/>
    <w:rsid w:val="006420D5"/>
  </w:style>
  <w:style w:type="character" w:customStyle="1" w:styleId="s7">
    <w:name w:val="s7"/>
    <w:basedOn w:val="Standardnpsmoodstavce"/>
    <w:rsid w:val="006420D5"/>
  </w:style>
  <w:style w:type="character" w:customStyle="1" w:styleId="s16">
    <w:name w:val="s16"/>
    <w:basedOn w:val="Standardnpsmoodstavce"/>
    <w:rsid w:val="006420D5"/>
  </w:style>
  <w:style w:type="character" w:customStyle="1" w:styleId="s31">
    <w:name w:val="s31"/>
    <w:basedOn w:val="Standardnpsmoodstavce"/>
    <w:rsid w:val="006420D5"/>
  </w:style>
  <w:style w:type="character" w:customStyle="1" w:styleId="s33">
    <w:name w:val="s33"/>
    <w:basedOn w:val="Standardnpsmoodstavce"/>
    <w:rsid w:val="006420D5"/>
  </w:style>
  <w:style w:type="character" w:customStyle="1" w:styleId="s34">
    <w:name w:val="s34"/>
    <w:basedOn w:val="Standardnpsmoodstavce"/>
    <w:rsid w:val="006420D5"/>
  </w:style>
  <w:style w:type="character" w:customStyle="1" w:styleId="Nadpis1Char">
    <w:name w:val="Nadpis 1 Char"/>
    <w:basedOn w:val="Standardnpsmoodstavce"/>
    <w:link w:val="Nadpis1"/>
    <w:uiPriority w:val="9"/>
    <w:rsid w:val="001A55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0035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0353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xt.codexis.cz/literatura/LT97412" TargetMode="External"/><Relationship Id="rId13" Type="http://schemas.openxmlformats.org/officeDocument/2006/relationships/hyperlink" Target="https://next.codexis.cz/legislativa/CR10" TargetMode="External"/><Relationship Id="rId18" Type="http://schemas.openxmlformats.org/officeDocument/2006/relationships/hyperlink" Target="https://next.codexis.cz/legislativa/CR1813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ext.codexis.cz/legislativa/CR482" TargetMode="External"/><Relationship Id="rId7" Type="http://schemas.openxmlformats.org/officeDocument/2006/relationships/hyperlink" Target="https://next.codexis.cz/literatura/LT97412" TargetMode="External"/><Relationship Id="rId12" Type="http://schemas.openxmlformats.org/officeDocument/2006/relationships/hyperlink" Target="https://next.codexis.cz/legislativa/CR482" TargetMode="External"/><Relationship Id="rId17" Type="http://schemas.openxmlformats.org/officeDocument/2006/relationships/hyperlink" Target="https://next.codexis.cz/legislativa/CR2678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ext.codexis.cz/legislativa/CR482" TargetMode="External"/><Relationship Id="rId20" Type="http://schemas.openxmlformats.org/officeDocument/2006/relationships/hyperlink" Target="https://next.codexis.cz/legislativa/CR19825" TargetMode="External"/><Relationship Id="rId1" Type="http://schemas.openxmlformats.org/officeDocument/2006/relationships/styles" Target="styles.xml"/><Relationship Id="rId6" Type="http://schemas.openxmlformats.org/officeDocument/2006/relationships/hyperlink" Target="https://next.codexis.cz/literatura/LT97412" TargetMode="External"/><Relationship Id="rId11" Type="http://schemas.openxmlformats.org/officeDocument/2006/relationships/hyperlink" Target="https://next.codexis.cz/literatura/LT97412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next.codexis.cz/literatura/LT97412" TargetMode="External"/><Relationship Id="rId15" Type="http://schemas.openxmlformats.org/officeDocument/2006/relationships/hyperlink" Target="https://next.codexis.cz/legislativa/CR1982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next.codexis.cz/literatura/LT97412" TargetMode="External"/><Relationship Id="rId19" Type="http://schemas.openxmlformats.org/officeDocument/2006/relationships/hyperlink" Target="https://next.codexis.cz/legislativa/CR18138" TargetMode="External"/><Relationship Id="rId4" Type="http://schemas.openxmlformats.org/officeDocument/2006/relationships/image" Target="media/image1.emf"/><Relationship Id="rId9" Type="http://schemas.openxmlformats.org/officeDocument/2006/relationships/hyperlink" Target="https://next.codexis.cz/literatura/LT97412" TargetMode="External"/><Relationship Id="rId14" Type="http://schemas.openxmlformats.org/officeDocument/2006/relationships/hyperlink" Target="https://next.codexis.cz/legislativa/CR18138" TargetMode="External"/><Relationship Id="rId22" Type="http://schemas.openxmlformats.org/officeDocument/2006/relationships/hyperlink" Target="https://next.codexis.cz/legislativa/CR482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3170</Words>
  <Characters>18704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Bára</dc:creator>
  <cp:keywords/>
  <dc:description/>
  <cp:lastModifiedBy>Barbora Císařová</cp:lastModifiedBy>
  <cp:revision>2</cp:revision>
  <dcterms:created xsi:type="dcterms:W3CDTF">2025-11-06T13:32:00Z</dcterms:created>
  <dcterms:modified xsi:type="dcterms:W3CDTF">2025-11-06T13:32:00Z</dcterms:modified>
</cp:coreProperties>
</file>